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E9" w:rsidRPr="00DF35E9" w:rsidRDefault="00DF35E9" w:rsidP="00DF35E9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Сообщение № 1174/2003, Бахрулло Минбоев против Таджикистана, CCPR/C/98/D/1174/2003, 11 мая 2010 г. </w:t>
      </w:r>
    </w:p>
    <w:p w:rsidR="00DF35E9" w:rsidRPr="00DF35E9" w:rsidRDefault="00DF35E9" w:rsidP="00DF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DF35E9" w:rsidRPr="00DF35E9" w:rsidRDefault="00DF35E9" w:rsidP="00D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Комитет по правам человека</w:t>
      </w:r>
    </w:p>
    <w:p w:rsidR="00DF35E9" w:rsidRPr="00DF35E9" w:rsidRDefault="00DF35E9" w:rsidP="00D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Девяносто восьмая сессия</w:t>
      </w:r>
    </w:p>
    <w:p w:rsidR="00DF35E9" w:rsidRPr="00DF35E9" w:rsidRDefault="00DF35E9" w:rsidP="00DF35E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8 −26 марта 2010 года</w:t>
      </w:r>
    </w:p>
    <w:p w:rsidR="00DF35E9" w:rsidRPr="00DF35E9" w:rsidRDefault="00DF35E9" w:rsidP="00DF35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35E9" w:rsidRPr="00DF35E9" w:rsidRDefault="00DF35E9" w:rsidP="00DF3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Решение</w:t>
      </w:r>
    </w:p>
    <w:p w:rsidR="00DF35E9" w:rsidRPr="00DF35E9" w:rsidRDefault="00DF35E9" w:rsidP="00DF35E9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Сообщение № 1174/2003 </w:t>
      </w:r>
      <w:r w:rsidRPr="00DF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14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9585"/>
      </w:tblGrid>
      <w:tr w:rsidR="00DF35E9" w:rsidRPr="00DF35E9" w:rsidTr="00DF35E9">
        <w:trPr>
          <w:trHeight w:val="465"/>
          <w:tblCellSpacing w:w="15" w:type="dxa"/>
        </w:trPr>
        <w:tc>
          <w:tcPr>
            <w:tcW w:w="4755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Представлено:</w:t>
            </w:r>
          </w:p>
        </w:tc>
        <w:tc>
          <w:tcPr>
            <w:tcW w:w="9480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Бахрулло Минбоевым (адвокатом не представлен)</w:t>
            </w:r>
          </w:p>
        </w:tc>
      </w:tr>
      <w:tr w:rsidR="00DF35E9" w:rsidRPr="00DF35E9" w:rsidTr="00DF35E9">
        <w:trPr>
          <w:trHeight w:val="450"/>
          <w:tblCellSpacing w:w="15" w:type="dxa"/>
        </w:trPr>
        <w:tc>
          <w:tcPr>
            <w:tcW w:w="4755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Предполагаемая жертва:</w:t>
            </w:r>
          </w:p>
        </w:tc>
        <w:tc>
          <w:tcPr>
            <w:tcW w:w="9480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сообщения</w:t>
            </w:r>
          </w:p>
        </w:tc>
      </w:tr>
      <w:tr w:rsidR="00DF35E9" w:rsidRPr="00DF35E9" w:rsidTr="00DF35E9">
        <w:trPr>
          <w:trHeight w:val="435"/>
          <w:tblCellSpacing w:w="15" w:type="dxa"/>
        </w:trPr>
        <w:tc>
          <w:tcPr>
            <w:tcW w:w="4755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Государство-участник:</w:t>
            </w:r>
          </w:p>
        </w:tc>
        <w:tc>
          <w:tcPr>
            <w:tcW w:w="9480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</w:t>
            </w:r>
          </w:p>
        </w:tc>
      </w:tr>
      <w:tr w:rsidR="00DF35E9" w:rsidRPr="00DF35E9" w:rsidTr="00DF35E9">
        <w:trPr>
          <w:trHeight w:val="435"/>
          <w:tblCellSpacing w:w="15" w:type="dxa"/>
        </w:trPr>
        <w:tc>
          <w:tcPr>
            <w:tcW w:w="4755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сообщения:</w:t>
            </w:r>
          </w:p>
        </w:tc>
        <w:tc>
          <w:tcPr>
            <w:tcW w:w="9480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2003 года (первоначальное представление)</w:t>
            </w:r>
          </w:p>
        </w:tc>
      </w:tr>
      <w:tr w:rsidR="00DF35E9" w:rsidRPr="00DF35E9" w:rsidTr="00DF35E9">
        <w:trPr>
          <w:trHeight w:val="720"/>
          <w:tblCellSpacing w:w="15" w:type="dxa"/>
        </w:trPr>
        <w:tc>
          <w:tcPr>
            <w:tcW w:w="4755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Справочная документация:</w:t>
            </w:r>
          </w:p>
        </w:tc>
        <w:tc>
          <w:tcPr>
            <w:tcW w:w="9480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Специального докладчика в соответствии с правилом 92/97, препровожденное государству-участнику 21 мая 2003 года (в виде документа не издавалось)</w:t>
            </w:r>
          </w:p>
        </w:tc>
      </w:tr>
      <w:tr w:rsidR="00DF35E9" w:rsidRPr="00DF35E9" w:rsidTr="00DF35E9">
        <w:trPr>
          <w:trHeight w:val="420"/>
          <w:tblCellSpacing w:w="15" w:type="dxa"/>
        </w:trPr>
        <w:tc>
          <w:tcPr>
            <w:tcW w:w="4755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настоящего решения:</w:t>
            </w:r>
          </w:p>
        </w:tc>
        <w:tc>
          <w:tcPr>
            <w:tcW w:w="9480" w:type="dxa"/>
            <w:vAlign w:val="bottom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2010 года</w:t>
            </w:r>
          </w:p>
        </w:tc>
      </w:tr>
      <w:tr w:rsidR="00DF35E9" w:rsidRPr="00DF35E9" w:rsidTr="00DF35E9">
        <w:trPr>
          <w:trHeight w:val="450"/>
          <w:tblCellSpacing w:w="15" w:type="dxa"/>
        </w:trPr>
        <w:tc>
          <w:tcPr>
            <w:tcW w:w="4755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сообщения:</w:t>
            </w:r>
          </w:p>
        </w:tc>
        <w:tc>
          <w:tcPr>
            <w:tcW w:w="9480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уголовной процедуры в деле, предполагающем назначение смертной казни</w:t>
            </w:r>
          </w:p>
        </w:tc>
      </w:tr>
      <w:tr w:rsidR="00DF35E9" w:rsidRPr="00DF35E9" w:rsidTr="00DF35E9">
        <w:trPr>
          <w:trHeight w:val="660"/>
          <w:tblCellSpacing w:w="15" w:type="dxa"/>
        </w:trPr>
        <w:tc>
          <w:tcPr>
            <w:tcW w:w="4755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Процедурные вопросы :</w:t>
            </w:r>
          </w:p>
        </w:tc>
        <w:tc>
          <w:tcPr>
            <w:tcW w:w="9480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сотрудничества государства-участника, оценка фактов и доказательств судами, недостаточная обоснованность утверждений</w:t>
            </w:r>
          </w:p>
        </w:tc>
      </w:tr>
      <w:tr w:rsidR="00DF35E9" w:rsidRPr="00DF35E9" w:rsidTr="00DF35E9">
        <w:trPr>
          <w:trHeight w:val="660"/>
          <w:tblCellSpacing w:w="15" w:type="dxa"/>
        </w:trPr>
        <w:tc>
          <w:tcPr>
            <w:tcW w:w="4755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существа:</w:t>
            </w:r>
          </w:p>
        </w:tc>
        <w:tc>
          <w:tcPr>
            <w:tcW w:w="9480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задержание, несправедливое судебное разбирательство, доступ к адвокату по своему выбору, право на вызов и допрос свидетелей</w:t>
            </w:r>
          </w:p>
        </w:tc>
      </w:tr>
      <w:tr w:rsidR="00DF35E9" w:rsidRPr="00DF35E9" w:rsidTr="00DF35E9">
        <w:trPr>
          <w:trHeight w:val="420"/>
          <w:tblCellSpacing w:w="15" w:type="dxa"/>
        </w:trPr>
        <w:tc>
          <w:tcPr>
            <w:tcW w:w="4755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Статьи Пакта :</w:t>
            </w:r>
          </w:p>
        </w:tc>
        <w:tc>
          <w:tcPr>
            <w:tcW w:w="9480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 и 2 статьи 6, пункты 1 и 2 статьи 9 и пункт 3 (подпункты b ) и e )) статьи 14</w:t>
            </w:r>
          </w:p>
        </w:tc>
      </w:tr>
      <w:tr w:rsidR="00DF35E9" w:rsidRPr="00DF35E9" w:rsidTr="00DF35E9">
        <w:trPr>
          <w:tblCellSpacing w:w="15" w:type="dxa"/>
        </w:trPr>
        <w:tc>
          <w:tcPr>
            <w:tcW w:w="4755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Статьи Факультативного протокола:</w:t>
            </w:r>
          </w:p>
        </w:tc>
        <w:tc>
          <w:tcPr>
            <w:tcW w:w="9480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</w:t>
            </w:r>
          </w:p>
        </w:tc>
      </w:tr>
    </w:tbl>
    <w:p w:rsidR="00DF35E9" w:rsidRPr="00DF35E9" w:rsidRDefault="00DF35E9" w:rsidP="00DF35E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[Приложение]</w:t>
      </w:r>
    </w:p>
    <w:p w:rsidR="00DF35E9" w:rsidRPr="00DF35E9" w:rsidRDefault="00DF35E9" w:rsidP="00DF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DF35E9" w:rsidRPr="00DF35E9" w:rsidRDefault="00DF35E9" w:rsidP="00DF3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DF35E9" w:rsidRPr="00DF35E9" w:rsidRDefault="00DF35E9" w:rsidP="00DF35E9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Решение Комитета по правам человека в соответствии с Факультативным протоколом к Международному пакту о гражданских и политических правах (девяносто восьмая сессия) </w:t>
      </w:r>
    </w:p>
    <w:p w:rsidR="00DF35E9" w:rsidRPr="00DF35E9" w:rsidRDefault="00DF35E9" w:rsidP="00DF35E9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</w:t>
      </w:r>
    </w:p>
    <w:p w:rsidR="00DF35E9" w:rsidRPr="00DF35E9" w:rsidRDefault="00DF35E9" w:rsidP="00DF35E9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Сообщения № 1174/2003 </w:t>
      </w:r>
      <w:r w:rsidRPr="00DF35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6814"/>
      </w:tblGrid>
      <w:tr w:rsidR="00DF35E9" w:rsidRPr="00DF35E9" w:rsidTr="00DF35E9">
        <w:trPr>
          <w:trHeight w:val="405"/>
          <w:tblCellSpacing w:w="15" w:type="dxa"/>
        </w:trPr>
        <w:tc>
          <w:tcPr>
            <w:tcW w:w="3120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Представлено:</w:t>
            </w:r>
          </w:p>
        </w:tc>
        <w:tc>
          <w:tcPr>
            <w:tcW w:w="6855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Бахрулло Минбоевым (адвокатом не представлен)</w:t>
            </w:r>
          </w:p>
        </w:tc>
      </w:tr>
      <w:tr w:rsidR="00DF35E9" w:rsidRPr="00DF35E9" w:rsidTr="00DF35E9">
        <w:trPr>
          <w:trHeight w:val="405"/>
          <w:tblCellSpacing w:w="15" w:type="dxa"/>
        </w:trPr>
        <w:tc>
          <w:tcPr>
            <w:tcW w:w="3120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Предполагаемая жертва:</w:t>
            </w:r>
          </w:p>
        </w:tc>
        <w:tc>
          <w:tcPr>
            <w:tcW w:w="6855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сообщения</w:t>
            </w:r>
          </w:p>
        </w:tc>
      </w:tr>
      <w:tr w:rsidR="00DF35E9" w:rsidRPr="00DF35E9" w:rsidTr="00DF35E9">
        <w:trPr>
          <w:trHeight w:val="375"/>
          <w:tblCellSpacing w:w="15" w:type="dxa"/>
        </w:trPr>
        <w:tc>
          <w:tcPr>
            <w:tcW w:w="3120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Государство-участник:</w:t>
            </w:r>
          </w:p>
        </w:tc>
        <w:tc>
          <w:tcPr>
            <w:tcW w:w="6855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</w:t>
            </w:r>
          </w:p>
        </w:tc>
      </w:tr>
      <w:tr w:rsidR="00DF35E9" w:rsidRPr="00DF35E9" w:rsidTr="00DF35E9">
        <w:trPr>
          <w:tblCellSpacing w:w="15" w:type="dxa"/>
        </w:trPr>
        <w:tc>
          <w:tcPr>
            <w:tcW w:w="3120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сообщения:</w:t>
            </w:r>
          </w:p>
        </w:tc>
        <w:tc>
          <w:tcPr>
            <w:tcW w:w="6855" w:type="dxa"/>
            <w:hideMark/>
          </w:tcPr>
          <w:p w:rsidR="00DF35E9" w:rsidRPr="00DF35E9" w:rsidRDefault="00DF35E9" w:rsidP="00DF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2003 года (первоначальное представление)</w:t>
            </w:r>
          </w:p>
        </w:tc>
      </w:tr>
    </w:tbl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Комитет по правам человека </w:t>
      </w: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учрежденный в соответствии со статьей 28 Международного пакта о гражданских и политических правах,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своем заседании </w:t>
      </w: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марта 2010 года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принимает следующее: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о приемлемости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  Автором сообщения является г-н Бахрулло Минбоев, гражданин Таджикистана, в настоящее время отбывающий тюремное заключение в Таджикистане, который утверждает, что является жертвой нарушения государством-участником его прав в соответствии с пунктами 1 и 2 статьи 6, пунктами 1 и 2 статьи 9 и пунктами 1 и 3 b ) и e )) статьи 14 Пакта. Автор не представлен адвокатом.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  21 мая 2003 года в соответствии с правилом 92 своих правил процедуры Комитет по правам человека, действуя через своего Специального докладчика по новым сообщениям и временным мерам, обратился к государству-участнику с просьбой не приводить в исполнение смертный приговор в отношении автора до тех пор, пока его дело рассматривается Комитетом.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Факты в изложении автора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  1 ноября 2000 года автор был задержан по подозрению в краже. Обвинения ему не предъявлялись вплоть до 19 ноября 2000 года. Во время допросов автор признался, что в октябре 1997 года он совершил убийство. В ту пору он работал в министерстве внутренних дел, и его начальник попросил его убить одну из жертв последующего убийства. Ему пригрозили, что он и члены его семьи будут убиты, если он не совершит это убийство. 5 ноября 1997 года, находившись в одной машине с жертвами преступления, он произвел выстрел, однако пуля, пройдя через голову намеченной жертвы, поразила также рядом сидевшего мужчину. Оба они погибли.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  В ходе расследования автору было отказано в адвокате по его выбору. У него не было правовой защиты в течение трех месяцев, хотя в соответствии с Уголовно-процессуальным кодексом правовая помощь является обязательной в случаях, предусматривающих смертную казнь, начиная со стадии предварительного следствия. Позднее ему был назначен государственный адвокат, у которого не было лицензии на адвокатскую практику. Кроме того, приказ о назначении этого адвоката был недействителен, так как он был вынесен 20 января 2000 года, тогда как автор был задержан только 7 ноября 2000 года.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  9 апреля 2001 года он был осужден за умышленное убийство двух или более лиц и приговорен к смертной казни. В ходе судебного разбирательства автор получил адвоката по своему выбору, который просил произвести судебно-медицинскую экспертизу, чтобы доказать, что обе смерти были вызваны одной пулей. Эта просьба была отклонена судом. Автор признался в совершении убийства, добавив, что только одна из смертей была вызвана умышленным убийством. Второй человек был убит случайно. Суд проигнорировал это заявление, а также просьбу защиты пригласить дополнительных свидетелей.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   Кассационная жалоба автора была отклонена судом кассационной инстанции. Однако в результате апелляции в Президиум Верховного суда в соответствии с процедурой пересмотра в порядке надзора судебное решение было отменено, и 11 января 2002 года дело было направлено на повторное судебное разбирательство. Это решение было основано на следующих процедурных недостатках: 1) отсутствии юридической помощи автору по его собственному выбору; 2) факте неполного установления личности автора; и 3) непроведении расследования возможной случайной гибели второго потерпевшего. Дело было направлено тому же следователю, который проводил первоначальное расследование: он был предвзят и имел собственную заинтересованность в результатах второго расследования. И снова адвокат, выбранный автором для своей защиты, был отклонен судьей, который назначил ему другого адвоката. Этот адвокат, как утверждается, подписал процессуальные документы без ведома автора и не информировал его о его праве на изучение материалов следствия.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  В ходе второго судебного разбирательства было установлено, что оба потерпевших были убиты одной пулей, однако суд проигнорировал этот факт и 24 сентября 2002 года повторно приговорил автора к смертной казни.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  Автору не было разрешено присутствовать при рассмотрении его дела в суде кассационной инстанции, хотя в соответствии с Уголовно-процессуальным кодексом Таджикистана он имел на это право.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   Его кассационная жалоба от 15 ноября 2002 года была отклонена Судебной коллегией по уголовным делам Верховного суда. Кроме того, его заявление о пересмотре судебного решения, направленное Председателю Верховного суда, также было отклонено. Автор утверждает, что этот же вопрос не рассматривается в рамках другой процедуры международного разбирательства или урегулирования и что он исчерпал все доступные внутренние средства правовой защиты.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   В своем представлении от 12 июля 2003 года автор добавляет, что состояние его психического здоровья ухудшилось из-за стресса, вызванного ожиданием казни.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  Автор ссылается на пункты 1 и 2 статьи 6, утверждая, что его право на жизнь было нарушено в связи с несправедливым решением, вынесенным некомпетентным судом.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  Автор утверждает, что его права в соответствии с пунктами 1 и 2 статьи 9 были нарушены, поскольку его задержание было незаконным и его не информировали о предъявляемых ему обвинениях в течение более недели.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  Автор ссылается на пункт 1 статьи 14, утверждая, что суд был предвзятым, поскольку игнорировал его показания и результаты судебно-медицинской экспертизы.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  Автор утверждает, что его права в соответствии с пунктом 3 b ) статьи 14 Пакта были нарушены, поскольку у него не было правовой защиты в течение трех месяцев и он не был представлен адвокатом по своему выбору. Кроме того, назначенный адвокат не имел лицензии на адвокатскую практику и автор не имел возможности общаться с ним.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  Автор ссылается также на пункт 3 е) статьи 14, так как суд проигнорировал просьбу защиты пригласить дополнительных свидетелей.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государства-участника и отсутствие его ответов на вопросы, касающиеся приемлемости и существа жалобы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   13 октября 2003 года государство-участник представило информацию о том, что автор был помилован 4 сентября 2003 года и что его смертный приговор был заменен на 20 лет тюремного заключения.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  В мае 2003 года государству-участнику было предложено представить свои замечания относительно приемлемости и существа сообщения. В июле 2005 года было направлено напоминание в этой связи. Комитет отмечает, что не поступило никакой информации. Комитет сожалеет, что государство-участник не представило информации относительно приемлемости или существа заявлений автора. Он напоминает, что согласно Факультативному протоколу соответствующее государство должно представить Комитету письменные объяснения или заявления, разъясняющие рассматриваемый вопрос, а также информацию о любых мерах, если таковые имели место, которые могли быть приняты государством-участником. В отсутствие ответа со стороны государства-участника необходимо уделить должное внимание утверждениям автора сообщения при условии, что они были должным образом обоснованы.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Непредоставление автором дополнительной информации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 Автор, чье местонахождение в настоящее время неизвестно, не предоставил комментариев по представлению государства-участника, несмотря на посланные ему напоминания. Последнее сообщение от автора было получено 12 июля 2003 года. Неоднократные запросы относительно его желания продолжать его дело, которые были направлены в 2005, 2006 и 2007 годах, остаются без ответа.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и процедура их рассмотрения в Комитете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вопроса о приемлемости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  Прежде чем рассматривать любые содержащиеся в сообщении жалобы, Комитет по правам человека должен, в соответствии с правилом 93 его правил процедуры, определить, является или нет данное сообщение приемлемым согласно Факультативному протоколу к Пакту. Во исполнение требования, содержащегося в пункте 2 а) статьи 5 Факультативного протокола, Комитета удостоверился в том, что этот же вопрос не рассматривается в соответствии с другой процедурой международного разбирательства и урегулирования.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  Комитет принимает к сведению утверждения автора о том, что судебный процесс был несправедливым и предвзятым, так как суд проигнорировал его показания и результаты судебно-медицинской экспертизы в нарушение пункта 1 статьи 14. Он отмечает, однако, что эти утверждения в значительной мере связаны с оценкой фактов и доказательств судами государства-участника. Комитет ссылается на свою практику </w:t>
      </w:r>
      <w:r w:rsidRPr="00DF35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повторяет, что оценкой фактов и доказательств по конкретному делу, как правило, должны заниматься суды государства-участника, за исключением тех случаев, когда можно утверждать, что такая оценка была явно произвольной или представляла собой отказ в правосудии. Материалы, находящиеся в распоряжении Комитета, не свидетельствуют о том, что проведение судебного процесса страдало такими недостатками. Таким образом, Комитет считает, что автор не обосновал своих заявлений для целей приемлемости и что требования являются, таким образом, неприемлемыми в соответствии со статьей 2 Факультативного протокола.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   Комитет также принимает к сведению утверждения автора о том, что он был незаконно задержан и что в течение более недели ему не сообщалось о предъявляемых ему обвинениях, как того требуют пункты 1 и 2 статьи 9 Пакта. Он также принимает к сведению заявления, сделанные автором по пункту 3 b ) и е) статьи 14, о том, что он не имел правовой защиты в течение трех месяцев, что он не имел возможности общаться с назначенным ему адвокатом и что он не был представлен адвокатом по своему выбору, тогда как назначенный ему адвокат не имел лицензии на ведение адвокатской практики. Комитет отмечает, однако, что автор не </w:t>
      </w: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обосновал эти утверждения в своем первоначальном сообщении и что Комитету не удалось восстановить связь с автором для получения дополнительной информации, несмотря на многочисленные попытки. В этих условиях Комитет считает, что утверждения автора не являются достаточно обоснованными для целей приемлемости и что эти утверждения являются поэтому неприемлемыми в соответствии со статьей 2 Факультативного протокола.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   Что касается утверждений автора в соответствии с пунктами 1 и 2 статьи 6, то Комитет отмечает заявление государства-участника о том, что смертный приговор автору был заменен на 20 лет лишения свободы. В свете этого и с учетом заключения Комитета об отсутствии нарушения прав автора по статье 14 Пакта в данном случае Комитет считает, что эта часть сообщения также является неприемлемой в соответствии со статьей 2 Факультативного протокола.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 Поэтому Комитет постановляет:</w:t>
      </w:r>
    </w:p>
    <w:p w:rsidR="00DF35E9" w:rsidRPr="00DF35E9" w:rsidRDefault="00DF35E9" w:rsidP="00DF35E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 признать сообщение неприемлемым в соответствии со статьей 2 Факультативного протокола;</w:t>
      </w:r>
    </w:p>
    <w:p w:rsidR="00DF35E9" w:rsidRPr="00DF35E9" w:rsidRDefault="00DF35E9" w:rsidP="00DF3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5E9" w:rsidRPr="00DF35E9" w:rsidRDefault="00DF35E9" w:rsidP="00DF35E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  препроводить настоящее решение государству-участнику и автору сообщения.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[Принято на английском, испанском и французском языках, причем языком оригинала является английский. Впоследствии будет также издано на арабском, китайском и русском языках в качестве части ежегодного доклада Комитета Генеральной Ассамблее.]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</w:t>
      </w:r>
    </w:p>
    <w:p w:rsidR="00DF35E9" w:rsidRPr="00DF35E9" w:rsidRDefault="00DF35E9" w:rsidP="00DF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</w:t>
      </w:r>
      <w:r w:rsidRPr="00DF35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В рассмотрении настоящего сообщения принимали участие следующие члены Комитета: г-н Абдельфаттах Амор, г-н Лазари Бузид, г-жа Кристина Шане, </w:t>
      </w:r>
      <w:r w:rsidRPr="00DF35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г-н Махджуб эль</w:t>
      </w:r>
      <w:r w:rsidRPr="00DF35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noBreakHyphen/>
        <w:t>Хаиба, г-н Ахмед Амин Фатхалла, г-н Юдзи Ивасава, г-жа Хелен Келлер, г-н Раджсумер Лаллах, г-жа Зонке Занеле Майодина, г-жа Юлия Антоанелла Моток, г-н Майкл О'Флаэрти, г-н Хосе Луис Перес Санчес Серро, г-н Рафаэль Ривас Посада, сэр Найджел Родли, г-н Фабиан Омар Сальвиоли и г-н Кристер Телин.</w:t>
      </w:r>
    </w:p>
    <w:p w:rsidR="00DF35E9" w:rsidRPr="00DF35E9" w:rsidRDefault="00DF35E9" w:rsidP="00DF35E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5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DF35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См., например, сообщение № 541/1993 </w:t>
      </w:r>
      <w:r w:rsidRPr="00DF35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Эррол Симмс против Ямайки </w:t>
      </w:r>
      <w:r w:rsidRPr="00DF35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решение о неприемлемости от 3 апреля 1995 года, и </w:t>
      </w:r>
      <w:r w:rsidRPr="00DF35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П. К. против Канады </w:t>
      </w:r>
      <w:r w:rsidRPr="00DF35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решение о неприемлемости от 20 марта 2007 года. Сообщение № 1188/2003 </w:t>
      </w:r>
      <w:r w:rsidRPr="00DF35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Ридл-Риденштайн и др. против Германии </w:t>
      </w:r>
      <w:r w:rsidRPr="00DF35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№ 886/1999 </w:t>
      </w:r>
      <w:r w:rsidRPr="00DF35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Бондаренко против Беларуси </w:t>
      </w:r>
      <w:r w:rsidRPr="00DF35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№ 1138/2002 </w:t>
      </w:r>
      <w:r w:rsidRPr="00DF35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Аренц и др. против Германии </w:t>
      </w:r>
      <w:r w:rsidRPr="00DF35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решение о неприемлемости.</w:t>
      </w:r>
    </w:p>
    <w:p w:rsidR="003F2464" w:rsidRDefault="003F2464">
      <w:bookmarkStart w:id="0" w:name="_GoBack"/>
      <w:bookmarkEnd w:id="0"/>
    </w:p>
    <w:sectPr w:rsidR="003F2464" w:rsidSect="001C158D">
      <w:pgSz w:w="11906" w:h="16838" w:code="9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32"/>
    <w:rsid w:val="001C158D"/>
    <w:rsid w:val="003F2464"/>
    <w:rsid w:val="00BE6532"/>
    <w:rsid w:val="00D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5E9"/>
    <w:rPr>
      <w:b/>
      <w:bCs/>
    </w:rPr>
  </w:style>
  <w:style w:type="character" w:customStyle="1" w:styleId="apple-converted-space">
    <w:name w:val="apple-converted-space"/>
    <w:basedOn w:val="a0"/>
    <w:rsid w:val="00DF35E9"/>
  </w:style>
  <w:style w:type="paragraph" w:styleId="a4">
    <w:name w:val="Normal (Web)"/>
    <w:basedOn w:val="a"/>
    <w:uiPriority w:val="99"/>
    <w:unhideWhenUsed/>
    <w:rsid w:val="00DF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35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5E9"/>
    <w:rPr>
      <w:b/>
      <w:bCs/>
    </w:rPr>
  </w:style>
  <w:style w:type="character" w:customStyle="1" w:styleId="apple-converted-space">
    <w:name w:val="apple-converted-space"/>
    <w:basedOn w:val="a0"/>
    <w:rsid w:val="00DF35E9"/>
  </w:style>
  <w:style w:type="paragraph" w:styleId="a4">
    <w:name w:val="Normal (Web)"/>
    <w:basedOn w:val="a"/>
    <w:uiPriority w:val="99"/>
    <w:unhideWhenUsed/>
    <w:rsid w:val="00DF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35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99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25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42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80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6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1995</Words>
  <Characters>11377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2015-09-04T11:07:00Z</dcterms:created>
  <dcterms:modified xsi:type="dcterms:W3CDTF">2015-09-04T11:07:00Z</dcterms:modified>
</cp:coreProperties>
</file>